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1f497d" w:val="clear"/>
        <w:rPr>
          <w:b w:val="1"/>
          <w:color w:val="ffff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1f497d" w:val="clear"/>
        <w:jc w:val="center"/>
        <w:rPr>
          <w:b w:val="1"/>
          <w:color w:val="ffffff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Handout A</w:t>
      </w:r>
    </w:p>
    <w:p w:rsidR="00000000" w:rsidDel="00000000" w:rsidP="00000000" w:rsidRDefault="00000000" w:rsidRPr="00000000" w14:paraId="00000004">
      <w:pPr>
        <w:shd w:fill="1f497d" w:val="clear"/>
        <w:jc w:val="center"/>
        <w:rPr>
          <w:b w:val="1"/>
          <w:color w:val="ffffff"/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World Religion Summary</w:t>
      </w:r>
    </w:p>
    <w:p w:rsidR="00000000" w:rsidDel="00000000" w:rsidP="00000000" w:rsidRDefault="00000000" w:rsidRPr="00000000" w14:paraId="00000005">
      <w:pPr>
        <w:shd w:fill="1f497d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b w:val="1"/>
          <w:color w:val="1f497d"/>
          <w:sz w:val="22"/>
          <w:szCs w:val="22"/>
        </w:rPr>
      </w:pPr>
      <w:r w:rsidDel="00000000" w:rsidR="00000000" w:rsidRPr="00000000">
        <w:rPr>
          <w:b w:val="1"/>
          <w:color w:val="1f497d"/>
          <w:sz w:val="22"/>
          <w:szCs w:val="22"/>
          <w:rtl w:val="0"/>
        </w:rPr>
        <w:t xml:space="preserve">Go through the information in this chart in small groups. The information is generic and allows a superficial understanding of some differences between the religions.</w:t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r w:rsidDel="00000000" w:rsidR="00000000" w:rsidRPr="00000000">
        <w:rPr>
          <w:b w:val="1"/>
          <w:color w:val="1f497d"/>
          <w:sz w:val="22"/>
          <w:szCs w:val="22"/>
        </w:rPr>
        <w:drawing>
          <wp:inline distB="114300" distT="114300" distL="114300" distR="114300">
            <wp:extent cx="6376019" cy="4767824"/>
            <wp:effectExtent b="0" l="0" r="0" t="0"/>
            <wp:docPr id="1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376019" cy="4767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b w:val="1"/>
          <w:color w:val="1f497d"/>
          <w:sz w:val="22"/>
          <w:szCs w:val="22"/>
        </w:rPr>
      </w:pPr>
      <w:r w:rsidDel="00000000" w:rsidR="00000000" w:rsidRPr="00000000">
        <w:rPr>
          <w:sz w:val="16"/>
          <w:szCs w:val="16"/>
          <w:rtl w:val="0"/>
        </w:rPr>
        <w:t xml:space="preserve">The chart is taken from </w:t>
      </w:r>
      <w:hyperlink r:id="rId8">
        <w:r w:rsidDel="00000000" w:rsidR="00000000" w:rsidRPr="00000000">
          <w:rPr>
            <w:color w:val="1155cc"/>
            <w:sz w:val="16"/>
            <w:szCs w:val="16"/>
            <w:u w:val="single"/>
            <w:rtl w:val="0"/>
          </w:rPr>
          <w:t xml:space="preserve">http://gilliswc.blogspot.com/2016/04/tuesday-wednesday-april-26th-27th-days.html</w:t>
        </w:r>
      </w:hyperlink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9" w:type="first"/>
      <w:pgSz w:h="16840" w:w="1190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8516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4"/>
      <w:gridCol w:w="2649"/>
      <w:gridCol w:w="3073"/>
      <w:tblGridChange w:id="0">
        <w:tblGrid>
          <w:gridCol w:w="2794"/>
          <w:gridCol w:w="2649"/>
          <w:gridCol w:w="3073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0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282788" cy="551223"/>
                <wp:effectExtent b="0" l="0" r="0" t="0"/>
                <wp:docPr id="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0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0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816439" cy="381016"/>
                <wp:effectExtent b="0" l="0" r="0" t="0"/>
                <wp:docPr id="11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190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23ADB"/>
  </w:style>
  <w:style w:type="paragraph" w:styleId="Footer">
    <w:name w:val="footer"/>
    <w:basedOn w:val="Normal"/>
    <w:link w:val="Foot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23AD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23ADB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23ADB"/>
    <w:rPr>
      <w:rFonts w:ascii="Lucida Grande" w:cs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23ADB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://gilliswc.blogspot.com/2016/04/tuesday-wednesday-april-26th-27th-days.htm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u//TFMl2O19SI9g8RTFTg6UFJw==">AMUW2mXinOKGQWS2ctr14IVOCVszANBOPqps41VBnFVV7nAhykwDFshalZs6v/Mzr9aUFI200FnOge7yNaJ18+ukCM7YlA4XRzKdkvRyodOnhoJJPbTFM7md5z351LTyIPhdFXBYoEYN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2023-04-13T13:08:00Z</dcterms:created>
  <dc:creator>Roderick Vassallo</dc:creator>
</cp:coreProperties>
</file>